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B02C4" w14:textId="731D4CE9" w:rsidR="009D5BAB" w:rsidRPr="009D56B1" w:rsidRDefault="009D5BAB" w:rsidP="009D5BAB">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w:t>
      </w:r>
      <w:r w:rsidR="007D32DD">
        <w:rPr>
          <w:noProof w:val="0"/>
          <w:sz w:val="24"/>
          <w:lang w:eastAsia="zh-CN"/>
        </w:rPr>
        <w:t>100</w:t>
      </w:r>
      <w:r w:rsidRPr="009D56B1">
        <w:rPr>
          <w:bCs/>
          <w:noProof w:val="0"/>
          <w:sz w:val="24"/>
        </w:rPr>
        <w:tab/>
      </w:r>
      <w:r w:rsidR="000A0DDB" w:rsidRPr="000A0DDB">
        <w:rPr>
          <w:bCs/>
          <w:noProof w:val="0"/>
          <w:sz w:val="24"/>
          <w:lang w:eastAsia="ja-JP"/>
        </w:rPr>
        <w:t>R2-1712625</w:t>
      </w:r>
    </w:p>
    <w:p w14:paraId="16D5C317" w14:textId="41D774AE" w:rsidR="009D5BAB" w:rsidRPr="009D56B1" w:rsidRDefault="007D32DD" w:rsidP="009D5BAB">
      <w:pPr>
        <w:pStyle w:val="Header"/>
        <w:tabs>
          <w:tab w:val="right" w:pos="9639"/>
        </w:tabs>
        <w:rPr>
          <w:bCs/>
          <w:i/>
          <w:noProof w:val="0"/>
          <w:sz w:val="24"/>
        </w:rPr>
      </w:pPr>
      <w:r w:rsidRPr="007D32DD">
        <w:rPr>
          <w:noProof w:val="0"/>
          <w:sz w:val="24"/>
          <w:lang w:eastAsia="zh-CN"/>
        </w:rPr>
        <w:t>Reno, USA, 27th November – 1st December 2017</w:t>
      </w:r>
      <w:r w:rsidR="009D5BAB"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27280B32"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291DB2">
        <w:rPr>
          <w:rFonts w:eastAsia="SimSun" w:cs="Arial"/>
          <w:b/>
          <w:bCs/>
          <w:sz w:val="24"/>
          <w:lang w:val="en-US"/>
        </w:rPr>
        <w:t>9.10.2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5B69E18D"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291DB2">
        <w:rPr>
          <w:rFonts w:ascii="Arial" w:hAnsi="Arial" w:cs="Arial"/>
          <w:b/>
          <w:bCs/>
          <w:sz w:val="24"/>
        </w:rPr>
        <w:t>Limited RX UE considerations for CA over PC5</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78FF54DC" w14:textId="63BE606C" w:rsidR="000760CC" w:rsidRDefault="00291DB2"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There was some discussion on the TX carrier selection mechanism for carrier aggregation over PC5 for V2X in previous meetings in both RAN1 and RAN2 and the following agreements were made:</w:t>
      </w:r>
    </w:p>
    <w:p w14:paraId="7606AB5E" w14:textId="77777777" w:rsidR="00E1454C" w:rsidRDefault="00E1454C" w:rsidP="00E1454C">
      <w:pPr>
        <w:pStyle w:val="Doc-text2"/>
        <w:pBdr>
          <w:top w:val="single" w:sz="4" w:space="1" w:color="auto"/>
          <w:left w:val="single" w:sz="4" w:space="4" w:color="auto"/>
          <w:bottom w:val="single" w:sz="4" w:space="1" w:color="auto"/>
          <w:right w:val="single" w:sz="4" w:space="4" w:color="auto"/>
        </w:pBdr>
        <w:ind w:left="1083"/>
      </w:pPr>
      <w:r>
        <w:t>Agreements:</w:t>
      </w:r>
    </w:p>
    <w:p w14:paraId="78E92C5B" w14:textId="77777777" w:rsidR="00E1454C" w:rsidRDefault="00E1454C" w:rsidP="00E1454C">
      <w:pPr>
        <w:pStyle w:val="Doc-text2"/>
        <w:pBdr>
          <w:top w:val="single" w:sz="4" w:space="1" w:color="auto"/>
          <w:left w:val="single" w:sz="4" w:space="4" w:color="auto"/>
          <w:bottom w:val="single" w:sz="4" w:space="1" w:color="auto"/>
          <w:right w:val="single" w:sz="4" w:space="4" w:color="auto"/>
        </w:pBdr>
        <w:ind w:left="720" w:firstLine="0"/>
      </w:pPr>
      <w:r>
        <w:t xml:space="preserve">1: CBR should be considered for the UEs’ </w:t>
      </w:r>
      <w:proofErr w:type="spellStart"/>
      <w:proofErr w:type="gramStart"/>
      <w:r>
        <w:t>Tx</w:t>
      </w:r>
      <w:proofErr w:type="spellEnd"/>
      <w:proofErr w:type="gramEnd"/>
      <w:r>
        <w:t xml:space="preserve"> carrier selection in PC5 CA from RAN2 perspective.</w:t>
      </w:r>
    </w:p>
    <w:p w14:paraId="24579EF7" w14:textId="77777777" w:rsidR="00E1454C" w:rsidRDefault="00E1454C" w:rsidP="00E1454C">
      <w:pPr>
        <w:pStyle w:val="Doc-text2"/>
        <w:pBdr>
          <w:top w:val="single" w:sz="4" w:space="1" w:color="auto"/>
          <w:left w:val="single" w:sz="4" w:space="4" w:color="auto"/>
          <w:bottom w:val="single" w:sz="4" w:space="1" w:color="auto"/>
          <w:right w:val="single" w:sz="4" w:space="4" w:color="auto"/>
        </w:pBdr>
        <w:ind w:left="1083"/>
      </w:pPr>
      <w:r>
        <w:t xml:space="preserve">2: Priority indicated by PPPP should be considered for the UE’s </w:t>
      </w:r>
      <w:proofErr w:type="spellStart"/>
      <w:proofErr w:type="gramStart"/>
      <w:r>
        <w:t>Tx</w:t>
      </w:r>
      <w:proofErr w:type="spellEnd"/>
      <w:proofErr w:type="gramEnd"/>
      <w:r>
        <w:t xml:space="preserve"> carrier selection in PC5 CA from RAN2 perspective. Not closed for other factors.</w:t>
      </w:r>
    </w:p>
    <w:p w14:paraId="507A1F9A" w14:textId="77777777" w:rsidR="00E1454C" w:rsidRDefault="00E1454C" w:rsidP="00E1454C">
      <w:pPr>
        <w:pStyle w:val="Doc-text2"/>
        <w:pBdr>
          <w:top w:val="single" w:sz="4" w:space="1" w:color="auto"/>
          <w:left w:val="single" w:sz="4" w:space="4" w:color="auto"/>
          <w:bottom w:val="single" w:sz="4" w:space="1" w:color="auto"/>
          <w:right w:val="single" w:sz="4" w:space="4" w:color="auto"/>
        </w:pBdr>
        <w:ind w:left="1083"/>
      </w:pPr>
      <w:r>
        <w:t>3: AS is aware of candidate V2X frequencies for V2X packet transmissions, which configured by upper layers (Same as Rel-14). FFS on the additional need in Rel-15.</w:t>
      </w:r>
    </w:p>
    <w:p w14:paraId="781B47C9" w14:textId="77777777" w:rsidR="00E1454C" w:rsidRDefault="00E1454C" w:rsidP="00E1454C">
      <w:pPr>
        <w:pStyle w:val="Doc-text2"/>
        <w:pBdr>
          <w:top w:val="single" w:sz="4" w:space="1" w:color="auto"/>
          <w:left w:val="single" w:sz="4" w:space="4" w:color="auto"/>
          <w:bottom w:val="single" w:sz="4" w:space="1" w:color="auto"/>
          <w:right w:val="single" w:sz="4" w:space="4" w:color="auto"/>
        </w:pBdr>
        <w:ind w:left="1083"/>
      </w:pPr>
      <w:r>
        <w:t xml:space="preserve">4: UE capability on PC5 CA should be considered for the UE’s </w:t>
      </w:r>
      <w:proofErr w:type="spellStart"/>
      <w:proofErr w:type="gramStart"/>
      <w:r>
        <w:t>Tx</w:t>
      </w:r>
      <w:proofErr w:type="spellEnd"/>
      <w:proofErr w:type="gramEnd"/>
      <w:r>
        <w:t xml:space="preserve"> carrier selection from RAN2 perspective. However no additional specification impacts are foreseen at the moment.</w:t>
      </w:r>
    </w:p>
    <w:p w14:paraId="499DD8FD" w14:textId="77777777" w:rsidR="00E1454C" w:rsidRDefault="00E1454C" w:rsidP="00E1454C">
      <w:pPr>
        <w:pStyle w:val="Doc-text2"/>
        <w:pBdr>
          <w:top w:val="single" w:sz="4" w:space="1" w:color="auto"/>
          <w:left w:val="single" w:sz="4" w:space="4" w:color="auto"/>
          <w:bottom w:val="single" w:sz="4" w:space="1" w:color="auto"/>
          <w:right w:val="single" w:sz="4" w:space="4" w:color="auto"/>
        </w:pBdr>
        <w:ind w:left="1083"/>
      </w:pPr>
      <w:r>
        <w:t>5: Configuration/</w:t>
      </w:r>
      <w:proofErr w:type="spellStart"/>
      <w:r>
        <w:t>Preconfiguration</w:t>
      </w:r>
      <w:proofErr w:type="spellEnd"/>
      <w:r>
        <w:t xml:space="preserve"> of PC5 carriers (at least one candidate set of PC5 CC) for the UE’s </w:t>
      </w:r>
      <w:proofErr w:type="spellStart"/>
      <w:proofErr w:type="gramStart"/>
      <w:r>
        <w:t>Tx</w:t>
      </w:r>
      <w:proofErr w:type="spellEnd"/>
      <w:proofErr w:type="gramEnd"/>
      <w:r>
        <w:t xml:space="preserve"> carrier selection (like Rel-14). FFS if further standard changes (including UE </w:t>
      </w:r>
      <w:proofErr w:type="spellStart"/>
      <w:r>
        <w:t>behaviors</w:t>
      </w:r>
      <w:proofErr w:type="spellEnd"/>
      <w:r>
        <w:t>) are needed for Rel-15 eV2X.</w:t>
      </w:r>
    </w:p>
    <w:p w14:paraId="479A3C33" w14:textId="77777777" w:rsidR="00E1454C" w:rsidRDefault="00E1454C" w:rsidP="00E1454C">
      <w:pPr>
        <w:pStyle w:val="Doc-text2"/>
        <w:pBdr>
          <w:top w:val="single" w:sz="4" w:space="1" w:color="auto"/>
          <w:left w:val="single" w:sz="4" w:space="4" w:color="auto"/>
          <w:bottom w:val="single" w:sz="4" w:space="1" w:color="auto"/>
          <w:right w:val="single" w:sz="4" w:space="4" w:color="auto"/>
        </w:pBdr>
        <w:ind w:left="1083"/>
      </w:pPr>
      <w:r>
        <w:t>6: From RAN2 point of view we do NOT need a PCC and SCC.</w:t>
      </w:r>
    </w:p>
    <w:p w14:paraId="030445A6" w14:textId="77777777" w:rsidR="00E1454C" w:rsidRDefault="00E1454C" w:rsidP="00E1454C">
      <w:pPr>
        <w:pStyle w:val="Doc-text2"/>
        <w:pBdr>
          <w:top w:val="single" w:sz="4" w:space="1" w:color="auto"/>
          <w:left w:val="single" w:sz="4" w:space="4" w:color="auto"/>
          <w:bottom w:val="single" w:sz="4" w:space="1" w:color="auto"/>
          <w:right w:val="single" w:sz="4" w:space="4" w:color="auto"/>
        </w:pBdr>
        <w:ind w:left="1083"/>
      </w:pPr>
      <w:r>
        <w:t>7: No need of activation/deactivation mechanism for carriers.</w:t>
      </w:r>
    </w:p>
    <w:p w14:paraId="55F0B1F7" w14:textId="77777777" w:rsidR="00E1454C" w:rsidRDefault="00E1454C" w:rsidP="00E1454C">
      <w:pPr>
        <w:pStyle w:val="Doc-text2"/>
        <w:pBdr>
          <w:top w:val="single" w:sz="4" w:space="1" w:color="auto"/>
          <w:left w:val="single" w:sz="4" w:space="4" w:color="auto"/>
          <w:bottom w:val="single" w:sz="4" w:space="1" w:color="auto"/>
          <w:right w:val="single" w:sz="4" w:space="4" w:color="auto"/>
        </w:pBdr>
        <w:ind w:left="1083"/>
      </w:pPr>
      <w:r>
        <w:t>8: FFS on how to handle Rx limited V2X UE.</w:t>
      </w:r>
    </w:p>
    <w:p w14:paraId="3996A82C" w14:textId="77777777" w:rsidR="00291DB2" w:rsidRDefault="00291DB2"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p>
    <w:p w14:paraId="1985FCA2" w14:textId="1EAE6013" w:rsidR="00291DB2" w:rsidRPr="000760CC" w:rsidRDefault="00291DB2" w:rsidP="000760C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this contribution, we look at the issue of limited RX UEs as raised by some companies and present out views.</w:t>
      </w:r>
    </w:p>
    <w:p w14:paraId="5DCEF4FA" w14:textId="6451D6AD" w:rsidR="00555440" w:rsidRPr="001C137C" w:rsidRDefault="000760CC" w:rsidP="00555440">
      <w:pPr>
        <w:pStyle w:val="Tdoc"/>
      </w:pPr>
      <w:r>
        <w:t>Discussion</w:t>
      </w:r>
    </w:p>
    <w:p w14:paraId="4FAC0286" w14:textId="55E8D370" w:rsidR="00786EC6" w:rsidRPr="00B14023" w:rsidRDefault="00291DB2" w:rsidP="00E1454C">
      <w:pPr>
        <w:overflowPunct w:val="0"/>
        <w:autoSpaceDE w:val="0"/>
        <w:autoSpaceDN w:val="0"/>
        <w:adjustRightInd w:val="0"/>
        <w:spacing w:after="180" w:line="240" w:lineRule="auto"/>
        <w:textAlignment w:val="baseline"/>
        <w:rPr>
          <w:rFonts w:ascii="Times New Roman" w:hAnsi="Times New Roman"/>
          <w:strike/>
          <w:sz w:val="20"/>
          <w:szCs w:val="20"/>
          <w:lang w:eastAsia="zh-CN"/>
        </w:rPr>
      </w:pPr>
      <w:r>
        <w:rPr>
          <w:rFonts w:ascii="Times New Roman" w:hAnsi="Times New Roman"/>
          <w:sz w:val="20"/>
          <w:szCs w:val="20"/>
          <w:lang w:eastAsia="zh-CN"/>
        </w:rPr>
        <w:t>One of the main issues raised in the TX carrier mechanism discussion last meeting was how limited RX chain UEs fit in the picture. There was some discussion on this aspect but it was ultimately left FFS</w:t>
      </w:r>
      <w:sdt>
        <w:sdtPr>
          <w:rPr>
            <w:rFonts w:ascii="Times New Roman" w:hAnsi="Times New Roman"/>
            <w:sz w:val="20"/>
            <w:szCs w:val="20"/>
            <w:lang w:eastAsia="zh-CN"/>
          </w:rPr>
          <w:id w:val="-1902519335"/>
          <w:citation/>
        </w:sdtPr>
        <w:sdtEndPr/>
        <w:sdtContent>
          <w:r w:rsidR="00E1454C">
            <w:rPr>
              <w:rFonts w:ascii="Times New Roman" w:hAnsi="Times New Roman"/>
              <w:sz w:val="20"/>
              <w:szCs w:val="20"/>
              <w:lang w:eastAsia="zh-CN"/>
            </w:rPr>
            <w:fldChar w:fldCharType="begin"/>
          </w:r>
          <w:r w:rsidR="00E1454C">
            <w:rPr>
              <w:rFonts w:ascii="Times New Roman" w:hAnsi="Times New Roman"/>
              <w:sz w:val="20"/>
              <w:szCs w:val="20"/>
              <w:lang w:eastAsia="zh-CN"/>
            </w:rPr>
            <w:instrText xml:space="preserve"> CITATION RAN299bis \l 1033 </w:instrText>
          </w:r>
          <w:r w:rsidR="00E1454C">
            <w:rPr>
              <w:rFonts w:ascii="Times New Roman" w:hAnsi="Times New Roman"/>
              <w:sz w:val="20"/>
              <w:szCs w:val="20"/>
              <w:lang w:eastAsia="zh-CN"/>
            </w:rPr>
            <w:fldChar w:fldCharType="separate"/>
          </w:r>
          <w:r w:rsidR="000A0DDB">
            <w:rPr>
              <w:rFonts w:ascii="Times New Roman" w:hAnsi="Times New Roman"/>
              <w:noProof/>
              <w:sz w:val="20"/>
              <w:szCs w:val="20"/>
              <w:lang w:eastAsia="zh-CN"/>
            </w:rPr>
            <w:t xml:space="preserve"> </w:t>
          </w:r>
          <w:r w:rsidR="000A0DDB" w:rsidRPr="000A0DDB">
            <w:rPr>
              <w:rFonts w:ascii="Times New Roman" w:hAnsi="Times New Roman"/>
              <w:noProof/>
              <w:sz w:val="20"/>
              <w:szCs w:val="20"/>
              <w:lang w:eastAsia="zh-CN"/>
            </w:rPr>
            <w:t>[1]</w:t>
          </w:r>
          <w:r w:rsidR="00E1454C">
            <w:rPr>
              <w:rFonts w:ascii="Times New Roman" w:hAnsi="Times New Roman"/>
              <w:sz w:val="20"/>
              <w:szCs w:val="20"/>
              <w:lang w:eastAsia="zh-CN"/>
            </w:rPr>
            <w:fldChar w:fldCharType="end"/>
          </w:r>
        </w:sdtContent>
      </w:sdt>
      <w:r>
        <w:rPr>
          <w:rFonts w:ascii="Times New Roman" w:hAnsi="Times New Roman"/>
          <w:sz w:val="20"/>
          <w:szCs w:val="20"/>
          <w:lang w:eastAsia="zh-CN"/>
        </w:rPr>
        <w:t xml:space="preserve">. </w:t>
      </w:r>
      <w:r w:rsidR="00B14023">
        <w:rPr>
          <w:rFonts w:ascii="Times New Roman" w:hAnsi="Times New Roman"/>
          <w:sz w:val="20"/>
          <w:szCs w:val="20"/>
          <w:lang w:eastAsia="zh-CN"/>
        </w:rPr>
        <w:t>In our view, the main</w:t>
      </w:r>
      <w:r>
        <w:rPr>
          <w:rFonts w:ascii="Times New Roman" w:hAnsi="Times New Roman"/>
          <w:sz w:val="20"/>
          <w:szCs w:val="20"/>
          <w:lang w:eastAsia="zh-CN"/>
        </w:rPr>
        <w:t xml:space="preserve"> issue pertains to so-called limited RX UEs, which essentially r</w:t>
      </w:r>
      <w:r w:rsidR="00440C74">
        <w:rPr>
          <w:rFonts w:ascii="Times New Roman" w:hAnsi="Times New Roman"/>
          <w:sz w:val="20"/>
          <w:szCs w:val="20"/>
          <w:lang w:eastAsia="zh-CN"/>
        </w:rPr>
        <w:t>efer</w:t>
      </w:r>
      <w:r>
        <w:rPr>
          <w:rFonts w:ascii="Times New Roman" w:hAnsi="Times New Roman"/>
          <w:sz w:val="20"/>
          <w:szCs w:val="20"/>
          <w:lang w:eastAsia="zh-CN"/>
        </w:rPr>
        <w:t xml:space="preserve"> to V2X UEs with limited RX capability</w:t>
      </w:r>
      <w:r w:rsidR="00440C74">
        <w:rPr>
          <w:rFonts w:ascii="Times New Roman" w:hAnsi="Times New Roman"/>
          <w:sz w:val="20"/>
          <w:szCs w:val="20"/>
          <w:lang w:eastAsia="zh-CN"/>
        </w:rPr>
        <w:t>,</w:t>
      </w:r>
      <w:r>
        <w:rPr>
          <w:rFonts w:ascii="Times New Roman" w:hAnsi="Times New Roman"/>
          <w:sz w:val="20"/>
          <w:szCs w:val="20"/>
          <w:lang w:eastAsia="zh-CN"/>
        </w:rPr>
        <w:t xml:space="preserve"> which cannot </w:t>
      </w:r>
      <w:r w:rsidR="00E1454C">
        <w:rPr>
          <w:rFonts w:ascii="Times New Roman" w:hAnsi="Times New Roman"/>
          <w:sz w:val="20"/>
          <w:szCs w:val="20"/>
          <w:lang w:eastAsia="zh-CN"/>
        </w:rPr>
        <w:t>receive</w:t>
      </w:r>
      <w:r>
        <w:rPr>
          <w:rFonts w:ascii="Times New Roman" w:hAnsi="Times New Roman"/>
          <w:sz w:val="20"/>
          <w:szCs w:val="20"/>
          <w:lang w:eastAsia="zh-CN"/>
        </w:rPr>
        <w:t xml:space="preserve"> </w:t>
      </w:r>
      <w:r w:rsidR="00E1454C">
        <w:rPr>
          <w:rFonts w:ascii="Times New Roman" w:hAnsi="Times New Roman"/>
          <w:sz w:val="20"/>
          <w:szCs w:val="20"/>
          <w:lang w:eastAsia="zh-CN"/>
        </w:rPr>
        <w:t>on</w:t>
      </w:r>
      <w:r>
        <w:rPr>
          <w:rFonts w:ascii="Times New Roman" w:hAnsi="Times New Roman"/>
          <w:sz w:val="20"/>
          <w:szCs w:val="20"/>
          <w:lang w:eastAsia="zh-CN"/>
        </w:rPr>
        <w:t xml:space="preserve"> </w:t>
      </w:r>
      <w:r w:rsidR="00E1454C">
        <w:rPr>
          <w:rFonts w:ascii="Times New Roman" w:hAnsi="Times New Roman"/>
          <w:sz w:val="20"/>
          <w:szCs w:val="20"/>
          <w:lang w:eastAsia="zh-CN"/>
        </w:rPr>
        <w:t xml:space="preserve">more </w:t>
      </w:r>
      <w:r>
        <w:rPr>
          <w:rFonts w:ascii="Times New Roman" w:hAnsi="Times New Roman"/>
          <w:sz w:val="20"/>
          <w:szCs w:val="20"/>
          <w:lang w:eastAsia="zh-CN"/>
        </w:rPr>
        <w:t>than a certa</w:t>
      </w:r>
      <w:r w:rsidR="00E1454C">
        <w:rPr>
          <w:rFonts w:ascii="Times New Roman" w:hAnsi="Times New Roman"/>
          <w:sz w:val="20"/>
          <w:szCs w:val="20"/>
          <w:lang w:eastAsia="zh-CN"/>
        </w:rPr>
        <w:t>in number of carriers</w:t>
      </w:r>
      <w:r w:rsidR="00440C74">
        <w:rPr>
          <w:rFonts w:ascii="Times New Roman" w:hAnsi="Times New Roman"/>
          <w:sz w:val="20"/>
          <w:szCs w:val="20"/>
          <w:lang w:eastAsia="zh-CN"/>
        </w:rPr>
        <w:t xml:space="preserve"> simultaneously. The </w:t>
      </w:r>
      <w:r w:rsidR="00B14023">
        <w:rPr>
          <w:rFonts w:ascii="Times New Roman" w:hAnsi="Times New Roman"/>
          <w:sz w:val="20"/>
          <w:szCs w:val="20"/>
          <w:lang w:eastAsia="zh-CN"/>
        </w:rPr>
        <w:t>question</w:t>
      </w:r>
      <w:r w:rsidR="00440C74">
        <w:rPr>
          <w:rFonts w:ascii="Times New Roman" w:hAnsi="Times New Roman"/>
          <w:sz w:val="20"/>
          <w:szCs w:val="20"/>
          <w:lang w:eastAsia="zh-CN"/>
        </w:rPr>
        <w:t xml:space="preserve"> raised is that for different V2X services, </w:t>
      </w:r>
      <w:r w:rsidR="00B14023">
        <w:rPr>
          <w:rFonts w:ascii="Times New Roman" w:hAnsi="Times New Roman"/>
          <w:sz w:val="20"/>
          <w:szCs w:val="20"/>
          <w:lang w:eastAsia="zh-CN"/>
        </w:rPr>
        <w:t xml:space="preserve">whether </w:t>
      </w:r>
      <w:r w:rsidR="00440C74">
        <w:rPr>
          <w:rFonts w:ascii="Times New Roman" w:hAnsi="Times New Roman"/>
          <w:sz w:val="20"/>
          <w:szCs w:val="20"/>
          <w:lang w:eastAsia="zh-CN"/>
        </w:rPr>
        <w:t xml:space="preserve">the RX capabilities of such UEs needs to be taken into account when selecting carriers for V2X transmission </w:t>
      </w:r>
      <w:proofErr w:type="gramStart"/>
      <w:r w:rsidR="00440C74">
        <w:rPr>
          <w:rFonts w:ascii="Times New Roman" w:hAnsi="Times New Roman"/>
          <w:sz w:val="20"/>
          <w:szCs w:val="20"/>
          <w:lang w:eastAsia="zh-CN"/>
        </w:rPr>
        <w:t>over</w:t>
      </w:r>
      <w:proofErr w:type="gramEnd"/>
      <w:r w:rsidR="00440C74">
        <w:rPr>
          <w:rFonts w:ascii="Times New Roman" w:hAnsi="Times New Roman"/>
          <w:sz w:val="20"/>
          <w:szCs w:val="20"/>
          <w:lang w:eastAsia="zh-CN"/>
        </w:rPr>
        <w:t xml:space="preserve"> CCs. </w:t>
      </w:r>
    </w:p>
    <w:p w14:paraId="3B9BA1CC" w14:textId="77777777" w:rsidR="00A8759E" w:rsidRDefault="00A8759E" w:rsidP="00A8759E">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There can be multiple scenarios envisioned in terms of TX and RX carriers for this case. Consider a given, single V2X service, which is mapped to say, X carriers (based on service to carrier mapping configured by upper layers). If a certain UE can monitor up to and including X RX carriers simultaneously, there is no issue. On the other hand, if the UE cannot receive on up to X carriers simultaneously, then it cannot reliably support that service type on account of missing some packets sent over carriers it cannot monitor. To deal with this issue, there could be a few different options:</w:t>
      </w:r>
    </w:p>
    <w:p w14:paraId="5C9AE666" w14:textId="0D28C820" w:rsidR="00A8759E" w:rsidRDefault="00A8759E" w:rsidP="00A8759E">
      <w:pPr>
        <w:pStyle w:val="ListParagraph"/>
        <w:numPr>
          <w:ilvl w:val="0"/>
          <w:numId w:val="14"/>
        </w:num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The RX limited UE should be capable of monitoring all carriers associated with the service type it is interesting in monitoring. In this case, we observe that it would be simpler from the specification point of view, but it comes at the cost of limited usefulness of CA use case 1, i.e. parallel transmission over multiple carriers to improve data rate. In case this option is considered, SA2 would need to be considered on whether we need to impose some restrictions on CA operation with regard to certain service types, e.g. road safety where reliability is arguably more important that high data rate.</w:t>
      </w:r>
    </w:p>
    <w:p w14:paraId="43491636" w14:textId="65B4AABC" w:rsidR="00034F0E" w:rsidRDefault="00A8759E" w:rsidP="000A0DDB">
      <w:pPr>
        <w:pStyle w:val="ListParagraph"/>
        <w:numPr>
          <w:ilvl w:val="0"/>
          <w:numId w:val="14"/>
        </w:numPr>
        <w:overflowPunct w:val="0"/>
        <w:autoSpaceDE w:val="0"/>
        <w:autoSpaceDN w:val="0"/>
        <w:adjustRightInd w:val="0"/>
        <w:spacing w:after="180" w:line="240" w:lineRule="auto"/>
        <w:textAlignment w:val="baseline"/>
        <w:rPr>
          <w:rFonts w:ascii="Times New Roman" w:hAnsi="Times New Roman"/>
          <w:sz w:val="20"/>
          <w:szCs w:val="20"/>
          <w:lang w:eastAsia="zh-CN"/>
        </w:rPr>
      </w:pPr>
      <w:r w:rsidRPr="00F07F83">
        <w:rPr>
          <w:rFonts w:ascii="Times New Roman" w:hAnsi="Times New Roman"/>
          <w:sz w:val="20"/>
          <w:szCs w:val="20"/>
          <w:lang w:eastAsia="zh-CN"/>
        </w:rPr>
        <w:t xml:space="preserve">Some priority order </w:t>
      </w:r>
      <w:r w:rsidR="00034F0E" w:rsidRPr="00F07F83">
        <w:rPr>
          <w:rFonts w:ascii="Times New Roman" w:hAnsi="Times New Roman"/>
          <w:sz w:val="20"/>
          <w:szCs w:val="20"/>
          <w:lang w:eastAsia="zh-CN"/>
        </w:rPr>
        <w:t>can</w:t>
      </w:r>
      <w:r w:rsidRPr="00F07F83">
        <w:rPr>
          <w:rFonts w:ascii="Times New Roman" w:hAnsi="Times New Roman"/>
          <w:sz w:val="20"/>
          <w:szCs w:val="20"/>
          <w:lang w:eastAsia="zh-CN"/>
        </w:rPr>
        <w:t xml:space="preserve"> be </w:t>
      </w:r>
      <w:r w:rsidR="00034F0E" w:rsidRPr="00F07F83">
        <w:rPr>
          <w:rFonts w:ascii="Times New Roman" w:hAnsi="Times New Roman"/>
          <w:sz w:val="20"/>
          <w:szCs w:val="20"/>
          <w:lang w:eastAsia="zh-CN"/>
        </w:rPr>
        <w:t>assigned to</w:t>
      </w:r>
      <w:r w:rsidRPr="00F07F83">
        <w:rPr>
          <w:rFonts w:ascii="Times New Roman" w:hAnsi="Times New Roman"/>
          <w:sz w:val="20"/>
          <w:szCs w:val="20"/>
          <w:lang w:eastAsia="zh-CN"/>
        </w:rPr>
        <w:t xml:space="preserve"> </w:t>
      </w:r>
      <w:r w:rsidR="00034F0E" w:rsidRPr="00F07F83">
        <w:rPr>
          <w:rFonts w:ascii="Times New Roman" w:hAnsi="Times New Roman"/>
          <w:sz w:val="20"/>
          <w:szCs w:val="20"/>
          <w:lang w:eastAsia="zh-CN"/>
        </w:rPr>
        <w:t xml:space="preserve">different </w:t>
      </w:r>
      <w:r w:rsidRPr="00F07F83">
        <w:rPr>
          <w:rFonts w:ascii="Times New Roman" w:hAnsi="Times New Roman"/>
          <w:sz w:val="20"/>
          <w:szCs w:val="20"/>
          <w:lang w:eastAsia="zh-CN"/>
        </w:rPr>
        <w:t xml:space="preserve">carriers, either per service type or as a common set from the TX UE perspective to allow the RX UEs to be able to monitor the preferred carrier if they are not able to listen to all the carriers. This was also brought up in the email discussion last meeting, but it should be noted that using such a prioritized mechanism of carrier selection for transmission does </w:t>
      </w:r>
      <w:bookmarkStart w:id="0" w:name="_GoBack"/>
      <w:bookmarkEnd w:id="0"/>
      <w:r w:rsidRPr="00F07F83">
        <w:rPr>
          <w:rFonts w:ascii="Times New Roman" w:hAnsi="Times New Roman"/>
          <w:sz w:val="20"/>
          <w:szCs w:val="20"/>
          <w:lang w:eastAsia="zh-CN"/>
        </w:rPr>
        <w:t xml:space="preserve">not entirely solve the issue since </w:t>
      </w:r>
      <w:r w:rsidRPr="00F07F83">
        <w:rPr>
          <w:rFonts w:ascii="Times New Roman" w:hAnsi="Times New Roman"/>
          <w:sz w:val="20"/>
          <w:szCs w:val="20"/>
          <w:lang w:eastAsia="zh-CN"/>
        </w:rPr>
        <w:lastRenderedPageBreak/>
        <w:t>the preferred carrier is likely to quickly become congested</w:t>
      </w:r>
      <w:r w:rsidR="00034F0E" w:rsidRPr="00F07F83">
        <w:rPr>
          <w:rFonts w:ascii="Times New Roman" w:hAnsi="Times New Roman"/>
          <w:sz w:val="20"/>
          <w:szCs w:val="20"/>
          <w:lang w:eastAsia="zh-CN"/>
        </w:rPr>
        <w:t xml:space="preserve">, In that case, </w:t>
      </w:r>
      <w:r w:rsidR="00034F0E" w:rsidRPr="0030716D">
        <w:rPr>
          <w:rFonts w:ascii="Times New Roman" w:hAnsi="Times New Roman"/>
          <w:sz w:val="20"/>
          <w:szCs w:val="20"/>
          <w:lang w:eastAsia="zh-CN"/>
        </w:rPr>
        <w:t xml:space="preserve">the </w:t>
      </w:r>
      <w:r w:rsidR="00034F0E" w:rsidRPr="00034F0E">
        <w:rPr>
          <w:rFonts w:ascii="Times New Roman" w:hAnsi="Times New Roman"/>
          <w:sz w:val="20"/>
          <w:szCs w:val="20"/>
          <w:lang w:eastAsia="zh-CN"/>
        </w:rPr>
        <w:t>TX UE would most likely need to switch to a different carrier and the TX-RX mismatch issue pops up. One possible solution to this is to configure specific CBR thresholds</w:t>
      </w:r>
      <w:r w:rsidR="00034F0E">
        <w:rPr>
          <w:rFonts w:ascii="Times New Roman" w:hAnsi="Times New Roman"/>
          <w:sz w:val="20"/>
          <w:szCs w:val="20"/>
          <w:lang w:eastAsia="zh-CN"/>
        </w:rPr>
        <w:t xml:space="preserve"> </w:t>
      </w:r>
      <w:r w:rsidR="00034F0E" w:rsidRPr="00F07F83">
        <w:rPr>
          <w:rFonts w:ascii="Times New Roman" w:hAnsi="Times New Roman"/>
          <w:sz w:val="20"/>
          <w:szCs w:val="20"/>
          <w:lang w:eastAsia="zh-CN"/>
        </w:rPr>
        <w:t xml:space="preserve">for carriers </w:t>
      </w:r>
      <w:r w:rsidR="00034F0E">
        <w:rPr>
          <w:rFonts w:ascii="Times New Roman" w:hAnsi="Times New Roman"/>
          <w:sz w:val="20"/>
          <w:szCs w:val="20"/>
          <w:lang w:eastAsia="zh-CN"/>
        </w:rPr>
        <w:t xml:space="preserve">(known to both TX and RX UEs) </w:t>
      </w:r>
      <w:r w:rsidR="00034F0E" w:rsidRPr="00F07F83">
        <w:rPr>
          <w:rFonts w:ascii="Times New Roman" w:hAnsi="Times New Roman"/>
          <w:sz w:val="20"/>
          <w:szCs w:val="20"/>
          <w:lang w:eastAsia="zh-CN"/>
        </w:rPr>
        <w:t>which forbids their usage</w:t>
      </w:r>
      <w:r w:rsidR="00034F0E">
        <w:rPr>
          <w:rFonts w:ascii="Times New Roman" w:hAnsi="Times New Roman"/>
          <w:sz w:val="20"/>
          <w:szCs w:val="20"/>
          <w:lang w:eastAsia="zh-CN"/>
        </w:rPr>
        <w:t>. However, using such a scheme in general renders the benefit of CA quite limited since it is more focused on catering to the RX limited UEs than to meet the goals of use case 1 as in the WI description.</w:t>
      </w:r>
    </w:p>
    <w:p w14:paraId="5063CA62" w14:textId="37763164" w:rsidR="00A8759E" w:rsidRPr="00F07F83" w:rsidRDefault="00034F0E" w:rsidP="00F07F83">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In our view, option 1 is preferable in case of single given service and </w:t>
      </w:r>
      <w:r w:rsidR="00A8759E" w:rsidRPr="00F07F83">
        <w:rPr>
          <w:rFonts w:ascii="Times New Roman" w:hAnsi="Times New Roman"/>
          <w:sz w:val="20"/>
          <w:szCs w:val="20"/>
          <w:lang w:eastAsia="zh-CN"/>
        </w:rPr>
        <w:t xml:space="preserve">we do not envision this being an issue since any V2X UE interested in a particular service should be capable to monitor all the CCs that are associated with that service. </w:t>
      </w:r>
    </w:p>
    <w:p w14:paraId="105A96F8" w14:textId="4BCA4D52" w:rsidR="008E5071" w:rsidRPr="00F239D6" w:rsidRDefault="00E1454C" w:rsidP="00F239D6">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 xml:space="preserve">Proposal </w:t>
      </w:r>
      <w:r w:rsidR="00F239D6" w:rsidRPr="000760CC">
        <w:rPr>
          <w:rFonts w:ascii="Times New Roman" w:eastAsia="Times New Roman" w:hAnsi="Times New Roman"/>
          <w:b/>
          <w:bCs/>
          <w:sz w:val="20"/>
          <w:szCs w:val="20"/>
          <w:u w:val="single"/>
          <w:lang w:val="en-GB" w:eastAsia="zh-CN"/>
        </w:rPr>
        <w:t>1:</w:t>
      </w:r>
      <w:r w:rsidR="00F239D6" w:rsidRPr="000760CC">
        <w:rPr>
          <w:rFonts w:ascii="Times New Roman" w:eastAsia="Times New Roman" w:hAnsi="Times New Roman"/>
          <w:b/>
          <w:bCs/>
          <w:sz w:val="20"/>
          <w:szCs w:val="20"/>
          <w:lang w:val="en-GB" w:eastAsia="zh-CN"/>
        </w:rPr>
        <w:tab/>
      </w:r>
      <w:r w:rsidR="00F239D6">
        <w:rPr>
          <w:rFonts w:ascii="Times New Roman" w:eastAsia="Times New Roman" w:hAnsi="Times New Roman"/>
          <w:bCs/>
          <w:i/>
          <w:sz w:val="20"/>
          <w:szCs w:val="20"/>
          <w:lang w:eastAsia="zh-CN"/>
        </w:rPr>
        <w:t>For a single</w:t>
      </w:r>
      <w:r w:rsidR="00F16547">
        <w:rPr>
          <w:rFonts w:ascii="Times New Roman" w:eastAsia="Times New Roman" w:hAnsi="Times New Roman"/>
          <w:bCs/>
          <w:i/>
          <w:sz w:val="20"/>
          <w:szCs w:val="20"/>
          <w:lang w:eastAsia="zh-CN"/>
        </w:rPr>
        <w:t>, given</w:t>
      </w:r>
      <w:r w:rsidR="00F239D6">
        <w:rPr>
          <w:rFonts w:ascii="Times New Roman" w:eastAsia="Times New Roman" w:hAnsi="Times New Roman"/>
          <w:bCs/>
          <w:i/>
          <w:sz w:val="20"/>
          <w:szCs w:val="20"/>
          <w:lang w:eastAsia="zh-CN"/>
        </w:rPr>
        <w:t xml:space="preserve"> V2X service, </w:t>
      </w:r>
      <w:r w:rsidR="00F16547">
        <w:rPr>
          <w:rFonts w:ascii="Times New Roman" w:eastAsia="Times New Roman" w:hAnsi="Times New Roman"/>
          <w:bCs/>
          <w:i/>
          <w:sz w:val="20"/>
          <w:szCs w:val="20"/>
          <w:lang w:eastAsia="zh-CN"/>
        </w:rPr>
        <w:t xml:space="preserve">any </w:t>
      </w:r>
      <w:r w:rsidR="00F239D6">
        <w:rPr>
          <w:rFonts w:ascii="Times New Roman" w:eastAsia="Times New Roman" w:hAnsi="Times New Roman"/>
          <w:bCs/>
          <w:i/>
          <w:sz w:val="20"/>
          <w:szCs w:val="20"/>
          <w:lang w:eastAsia="zh-CN"/>
        </w:rPr>
        <w:t xml:space="preserve">interested UEs should be able to monitor </w:t>
      </w:r>
      <w:r w:rsidR="00B14023">
        <w:rPr>
          <w:rFonts w:ascii="Times New Roman" w:eastAsia="Times New Roman" w:hAnsi="Times New Roman"/>
          <w:bCs/>
          <w:i/>
          <w:sz w:val="20"/>
          <w:szCs w:val="20"/>
          <w:lang w:eastAsia="zh-CN"/>
        </w:rPr>
        <w:t>all</w:t>
      </w:r>
      <w:r w:rsidR="00F239D6">
        <w:rPr>
          <w:rFonts w:ascii="Times New Roman" w:eastAsia="Times New Roman" w:hAnsi="Times New Roman"/>
          <w:bCs/>
          <w:i/>
          <w:sz w:val="20"/>
          <w:szCs w:val="20"/>
          <w:lang w:eastAsia="zh-CN"/>
        </w:rPr>
        <w:t xml:space="preserve"> configured RX carriers corresponding to that service</w:t>
      </w:r>
      <w:r w:rsidR="00F239D6" w:rsidRPr="000760CC">
        <w:rPr>
          <w:rFonts w:ascii="Times New Roman" w:eastAsia="Times New Roman" w:hAnsi="Times New Roman"/>
          <w:bCs/>
          <w:i/>
          <w:sz w:val="20"/>
          <w:szCs w:val="20"/>
          <w:lang w:eastAsia="zh-CN"/>
        </w:rPr>
        <w:t>.</w:t>
      </w:r>
    </w:p>
    <w:p w14:paraId="0F53B4AC" w14:textId="63E9DC50" w:rsidR="0007638E" w:rsidRDefault="00B14023"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However, i</w:t>
      </w:r>
      <w:r w:rsidR="000F1C37">
        <w:rPr>
          <w:rFonts w:ascii="Times New Roman" w:hAnsi="Times New Roman"/>
          <w:sz w:val="20"/>
          <w:szCs w:val="20"/>
          <w:lang w:eastAsia="zh-CN"/>
        </w:rPr>
        <w:t xml:space="preserve">f we consider multiple services </w:t>
      </w:r>
      <w:r w:rsidR="00F239D6">
        <w:rPr>
          <w:rFonts w:ascii="Times New Roman" w:hAnsi="Times New Roman"/>
          <w:sz w:val="20"/>
          <w:szCs w:val="20"/>
          <w:lang w:eastAsia="zh-CN"/>
        </w:rPr>
        <w:t>generating</w:t>
      </w:r>
      <w:r w:rsidR="000F1C37">
        <w:rPr>
          <w:rFonts w:ascii="Times New Roman" w:hAnsi="Times New Roman"/>
          <w:sz w:val="20"/>
          <w:szCs w:val="20"/>
          <w:lang w:eastAsia="zh-CN"/>
        </w:rPr>
        <w:t xml:space="preserve"> V2X traffic over different carriers simultaneously (or over a short duration), the issue becomes more complicated. This is because if a UE is interested in more than one such V2X service, it would </w:t>
      </w:r>
      <w:r w:rsidR="00E1454C">
        <w:rPr>
          <w:rFonts w:ascii="Times New Roman" w:hAnsi="Times New Roman"/>
          <w:sz w:val="20"/>
          <w:szCs w:val="20"/>
          <w:lang w:eastAsia="zh-CN"/>
        </w:rPr>
        <w:t>need</w:t>
      </w:r>
      <w:r w:rsidR="000F1C37">
        <w:rPr>
          <w:rFonts w:ascii="Times New Roman" w:hAnsi="Times New Roman"/>
          <w:sz w:val="20"/>
          <w:szCs w:val="20"/>
          <w:lang w:eastAsia="zh-CN"/>
        </w:rPr>
        <w:t xml:space="preserve"> to </w:t>
      </w:r>
      <w:r w:rsidR="00E1454C">
        <w:rPr>
          <w:rFonts w:ascii="Times New Roman" w:hAnsi="Times New Roman"/>
          <w:sz w:val="20"/>
          <w:szCs w:val="20"/>
          <w:lang w:eastAsia="zh-CN"/>
        </w:rPr>
        <w:t>perform</w:t>
      </w:r>
      <w:r w:rsidR="008E5071">
        <w:rPr>
          <w:rFonts w:ascii="Times New Roman" w:hAnsi="Times New Roman"/>
          <w:sz w:val="20"/>
          <w:szCs w:val="20"/>
          <w:lang w:eastAsia="zh-CN"/>
        </w:rPr>
        <w:t xml:space="preserve"> some switching between different carrier frequencies. This might hold true even if it is capable of monitoring all RX carriers corresponding to one of those services simultaneously</w:t>
      </w:r>
      <w:r w:rsidR="00B20B32">
        <w:rPr>
          <w:rFonts w:ascii="Times New Roman" w:hAnsi="Times New Roman"/>
          <w:sz w:val="20"/>
          <w:szCs w:val="20"/>
          <w:lang w:eastAsia="zh-CN"/>
        </w:rPr>
        <w:t>. In that case, RAN2 needs to discuss if we need to modify the TX carrier selection mechanism or incorporate any additional enhancements</w:t>
      </w:r>
      <w:r>
        <w:rPr>
          <w:rFonts w:ascii="Times New Roman" w:hAnsi="Times New Roman"/>
          <w:sz w:val="20"/>
          <w:szCs w:val="20"/>
          <w:lang w:eastAsia="zh-CN"/>
        </w:rPr>
        <w:t xml:space="preserve"> to deal with this issue</w:t>
      </w:r>
      <w:r w:rsidR="0007638E">
        <w:rPr>
          <w:rFonts w:ascii="Times New Roman" w:hAnsi="Times New Roman"/>
          <w:sz w:val="20"/>
          <w:szCs w:val="20"/>
          <w:lang w:eastAsia="zh-CN"/>
        </w:rPr>
        <w:t xml:space="preserve">. Some of the options discussed in </w:t>
      </w:r>
      <w:r>
        <w:rPr>
          <w:rFonts w:ascii="Times New Roman" w:hAnsi="Times New Roman"/>
          <w:sz w:val="20"/>
          <w:szCs w:val="20"/>
          <w:lang w:eastAsia="zh-CN"/>
        </w:rPr>
        <w:t xml:space="preserve">the </w:t>
      </w:r>
      <w:r w:rsidR="0007638E">
        <w:rPr>
          <w:rFonts w:ascii="Times New Roman" w:hAnsi="Times New Roman"/>
          <w:sz w:val="20"/>
          <w:szCs w:val="20"/>
          <w:lang w:eastAsia="zh-CN"/>
        </w:rPr>
        <w:t xml:space="preserve">previous meeting </w:t>
      </w:r>
      <w:r>
        <w:rPr>
          <w:rFonts w:ascii="Times New Roman" w:hAnsi="Times New Roman"/>
          <w:sz w:val="20"/>
          <w:szCs w:val="20"/>
          <w:lang w:eastAsia="zh-CN"/>
        </w:rPr>
        <w:t>are as follows</w:t>
      </w:r>
      <w:r w:rsidR="00E1454C">
        <w:rPr>
          <w:rFonts w:ascii="Times New Roman" w:hAnsi="Times New Roman"/>
          <w:sz w:val="20"/>
          <w:szCs w:val="20"/>
          <w:lang w:eastAsia="zh-CN"/>
        </w:rPr>
        <w:t xml:space="preserve"> </w:t>
      </w:r>
      <w:sdt>
        <w:sdtPr>
          <w:rPr>
            <w:rFonts w:ascii="Times New Roman" w:hAnsi="Times New Roman"/>
            <w:sz w:val="20"/>
            <w:szCs w:val="20"/>
            <w:lang w:eastAsia="zh-CN"/>
          </w:rPr>
          <w:id w:val="1834260430"/>
          <w:citation/>
        </w:sdtPr>
        <w:sdtEndPr/>
        <w:sdtContent>
          <w:r w:rsidR="00E1454C">
            <w:rPr>
              <w:rFonts w:ascii="Times New Roman" w:hAnsi="Times New Roman"/>
              <w:sz w:val="20"/>
              <w:szCs w:val="20"/>
              <w:lang w:eastAsia="zh-CN"/>
            </w:rPr>
            <w:fldChar w:fldCharType="begin"/>
          </w:r>
          <w:r w:rsidR="00E1454C">
            <w:rPr>
              <w:rFonts w:ascii="Times New Roman" w:hAnsi="Times New Roman"/>
              <w:sz w:val="20"/>
              <w:szCs w:val="20"/>
              <w:lang w:eastAsia="zh-CN"/>
            </w:rPr>
            <w:instrText xml:space="preserve"> CITATION RAN299bis \l 1033 </w:instrText>
          </w:r>
          <w:r w:rsidR="00E1454C">
            <w:rPr>
              <w:rFonts w:ascii="Times New Roman" w:hAnsi="Times New Roman"/>
              <w:sz w:val="20"/>
              <w:szCs w:val="20"/>
              <w:lang w:eastAsia="zh-CN"/>
            </w:rPr>
            <w:fldChar w:fldCharType="separate"/>
          </w:r>
          <w:r w:rsidR="000A0DDB" w:rsidRPr="000A0DDB">
            <w:rPr>
              <w:rFonts w:ascii="Times New Roman" w:hAnsi="Times New Roman"/>
              <w:noProof/>
              <w:sz w:val="20"/>
              <w:szCs w:val="20"/>
              <w:lang w:eastAsia="zh-CN"/>
            </w:rPr>
            <w:t>[1]</w:t>
          </w:r>
          <w:r w:rsidR="00E1454C">
            <w:rPr>
              <w:rFonts w:ascii="Times New Roman" w:hAnsi="Times New Roman"/>
              <w:sz w:val="20"/>
              <w:szCs w:val="20"/>
              <w:lang w:eastAsia="zh-CN"/>
            </w:rPr>
            <w:fldChar w:fldCharType="end"/>
          </w:r>
        </w:sdtContent>
      </w:sdt>
      <w:r w:rsidR="0007638E">
        <w:rPr>
          <w:rFonts w:ascii="Times New Roman" w:hAnsi="Times New Roman"/>
          <w:sz w:val="20"/>
          <w:szCs w:val="20"/>
          <w:lang w:eastAsia="zh-CN"/>
        </w:rPr>
        <w:t>:</w:t>
      </w:r>
    </w:p>
    <w:p w14:paraId="06CCFA02" w14:textId="7A0FAB0D" w:rsidR="0007638E" w:rsidRDefault="0007638E" w:rsidP="0007638E">
      <w:pPr>
        <w:pStyle w:val="ListParagraph"/>
        <w:numPr>
          <w:ilvl w:val="0"/>
          <w:numId w:val="13"/>
        </w:num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Assigning priorities to different carriers</w:t>
      </w:r>
      <w:r w:rsidR="00D945F5">
        <w:rPr>
          <w:rFonts w:ascii="Times New Roman" w:hAnsi="Times New Roman"/>
          <w:sz w:val="20"/>
          <w:szCs w:val="20"/>
          <w:lang w:eastAsia="zh-CN"/>
        </w:rPr>
        <w:t xml:space="preserve">, </w:t>
      </w:r>
      <w:r w:rsidR="00E1454C">
        <w:rPr>
          <w:rFonts w:ascii="Times New Roman" w:hAnsi="Times New Roman"/>
          <w:sz w:val="20"/>
          <w:szCs w:val="20"/>
          <w:lang w:eastAsia="zh-CN"/>
        </w:rPr>
        <w:t>either as a common set or per service type</w:t>
      </w:r>
      <w:r w:rsidR="00D945F5">
        <w:rPr>
          <w:rFonts w:ascii="Times New Roman" w:hAnsi="Times New Roman"/>
          <w:sz w:val="20"/>
          <w:szCs w:val="20"/>
          <w:lang w:eastAsia="zh-CN"/>
        </w:rPr>
        <w:t xml:space="preserve"> (as discussed above),</w:t>
      </w:r>
      <w:r>
        <w:rPr>
          <w:rFonts w:ascii="Times New Roman" w:hAnsi="Times New Roman"/>
          <w:sz w:val="20"/>
          <w:szCs w:val="20"/>
          <w:lang w:eastAsia="zh-CN"/>
        </w:rPr>
        <w:t xml:space="preserve"> to aid limited RX UE in monitoring higher priority carriers to ensure that the mismatch issue does not occur. However, for this approach to work, this </w:t>
      </w:r>
      <w:r w:rsidR="0011610B">
        <w:rPr>
          <w:rFonts w:ascii="Times New Roman" w:hAnsi="Times New Roman"/>
          <w:sz w:val="20"/>
          <w:szCs w:val="20"/>
          <w:lang w:eastAsia="zh-CN"/>
        </w:rPr>
        <w:t>priority</w:t>
      </w:r>
      <w:r w:rsidR="00E1454C">
        <w:rPr>
          <w:rFonts w:ascii="Times New Roman" w:hAnsi="Times New Roman"/>
          <w:sz w:val="20"/>
          <w:szCs w:val="20"/>
          <w:lang w:eastAsia="zh-CN"/>
        </w:rPr>
        <w:t xml:space="preserve"> has to be configured at</w:t>
      </w:r>
      <w:r>
        <w:rPr>
          <w:rFonts w:ascii="Times New Roman" w:hAnsi="Times New Roman"/>
          <w:sz w:val="20"/>
          <w:szCs w:val="20"/>
          <w:lang w:eastAsia="zh-CN"/>
        </w:rPr>
        <w:t xml:space="preserve"> the TX UE as well and would require additional effort to ensure that the higher priority carriers are not overloaded.</w:t>
      </w:r>
      <w:r w:rsidR="00D945F5">
        <w:rPr>
          <w:rFonts w:ascii="Times New Roman" w:hAnsi="Times New Roman"/>
          <w:sz w:val="20"/>
          <w:szCs w:val="20"/>
          <w:lang w:eastAsia="zh-CN"/>
        </w:rPr>
        <w:t xml:space="preserve"> As mentioned above, some specific CBR related rules/restrictions can be </w:t>
      </w:r>
      <w:r w:rsidR="00F07F83">
        <w:rPr>
          <w:rFonts w:ascii="Times New Roman" w:hAnsi="Times New Roman"/>
          <w:sz w:val="20"/>
          <w:szCs w:val="20"/>
          <w:lang w:eastAsia="zh-CN"/>
        </w:rPr>
        <w:t>considered</w:t>
      </w:r>
      <w:r w:rsidR="00D945F5">
        <w:rPr>
          <w:rFonts w:ascii="Times New Roman" w:hAnsi="Times New Roman"/>
          <w:sz w:val="20"/>
          <w:szCs w:val="20"/>
          <w:lang w:eastAsia="zh-CN"/>
        </w:rPr>
        <w:t xml:space="preserve"> to ensure that both TX and RX UEs are aware of which carrier is being used at any given time. </w:t>
      </w:r>
    </w:p>
    <w:p w14:paraId="5CA39AC8" w14:textId="496DC4F1" w:rsidR="0007638E" w:rsidRPr="0007638E" w:rsidRDefault="0007638E" w:rsidP="0007638E">
      <w:pPr>
        <w:pStyle w:val="ListParagraph"/>
        <w:numPr>
          <w:ilvl w:val="0"/>
          <w:numId w:val="13"/>
        </w:num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Another option was to rely on PPPP-carrier mapping to resolve this issue, whereby the limited RX UE would prioritize monitoring carriers assigned to higher priority packets. However, this still means that the UE would miss reception of some low priority packets unless additional enhancements are considered.</w:t>
      </w:r>
    </w:p>
    <w:p w14:paraId="70CC56B5" w14:textId="654D7361" w:rsidR="0007638E" w:rsidRDefault="00627647" w:rsidP="0007638E">
      <w:pPr>
        <w:pStyle w:val="ListParagraph"/>
        <w:numPr>
          <w:ilvl w:val="0"/>
          <w:numId w:val="13"/>
        </w:numPr>
        <w:overflowPunct w:val="0"/>
        <w:autoSpaceDE w:val="0"/>
        <w:autoSpaceDN w:val="0"/>
        <w:adjustRightInd w:val="0"/>
        <w:spacing w:after="180" w:line="240" w:lineRule="auto"/>
        <w:textAlignment w:val="baseline"/>
        <w:rPr>
          <w:rFonts w:ascii="Times New Roman" w:hAnsi="Times New Roman"/>
          <w:sz w:val="20"/>
          <w:szCs w:val="20"/>
          <w:lang w:eastAsia="zh-CN"/>
        </w:rPr>
      </w:pPr>
      <w:r w:rsidRPr="0007638E">
        <w:rPr>
          <w:rFonts w:ascii="Times New Roman" w:hAnsi="Times New Roman"/>
          <w:sz w:val="20"/>
          <w:szCs w:val="20"/>
          <w:lang w:eastAsia="zh-CN"/>
        </w:rPr>
        <w:t>As an alternative,</w:t>
      </w:r>
      <w:r w:rsidR="008E5071" w:rsidRPr="0007638E">
        <w:rPr>
          <w:rFonts w:ascii="Times New Roman" w:hAnsi="Times New Roman"/>
          <w:sz w:val="20"/>
          <w:szCs w:val="20"/>
          <w:lang w:eastAsia="zh-CN"/>
        </w:rPr>
        <w:t xml:space="preserve"> it can be argued that it should be up to UE implementation to choose</w:t>
      </w:r>
      <w:r w:rsidRPr="0007638E">
        <w:rPr>
          <w:rFonts w:ascii="Times New Roman" w:hAnsi="Times New Roman"/>
          <w:sz w:val="20"/>
          <w:szCs w:val="20"/>
          <w:lang w:eastAsia="zh-CN"/>
        </w:rPr>
        <w:t xml:space="preserve"> the particular service and the corresponding RX carriers that it wants to monitor. </w:t>
      </w:r>
      <w:r w:rsidR="00E1454C">
        <w:rPr>
          <w:rFonts w:ascii="Times New Roman" w:hAnsi="Times New Roman"/>
          <w:sz w:val="20"/>
          <w:szCs w:val="20"/>
          <w:lang w:eastAsia="zh-CN"/>
        </w:rPr>
        <w:t xml:space="preserve">The UE interested in monitoring multiple service types can prioritize reception on carriers associated to the service type it considers to be of higher priority. </w:t>
      </w:r>
      <w:r w:rsidRPr="0007638E">
        <w:rPr>
          <w:rFonts w:ascii="Times New Roman" w:hAnsi="Times New Roman"/>
          <w:sz w:val="20"/>
          <w:szCs w:val="20"/>
          <w:lang w:eastAsia="zh-CN"/>
        </w:rPr>
        <w:t>This would also have minimal impact on Rel-14 UEs, thereby ensuring backward compatibility (which is one of the objectives of this WI).</w:t>
      </w:r>
    </w:p>
    <w:p w14:paraId="2114B60E" w14:textId="46220CD4" w:rsidR="0007638E" w:rsidRPr="0007638E" w:rsidRDefault="0007638E" w:rsidP="0007638E">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It should be noted that any solution to the above issue should be applicable to both public safety and non-safety service</w:t>
      </w:r>
      <w:r w:rsidR="0030716D">
        <w:rPr>
          <w:rFonts w:ascii="Times New Roman" w:hAnsi="Times New Roman"/>
          <w:sz w:val="20"/>
          <w:szCs w:val="20"/>
          <w:lang w:eastAsia="zh-CN"/>
        </w:rPr>
        <w:t xml:space="preserve"> types</w:t>
      </w:r>
      <w:r w:rsidR="00B14023">
        <w:rPr>
          <w:rFonts w:ascii="Times New Roman" w:hAnsi="Times New Roman"/>
          <w:sz w:val="20"/>
          <w:szCs w:val="20"/>
          <w:lang w:eastAsia="zh-CN"/>
        </w:rPr>
        <w:t>.</w:t>
      </w:r>
    </w:p>
    <w:p w14:paraId="24B3EB5D" w14:textId="0E16DD24" w:rsidR="00555440" w:rsidRDefault="00E1454C" w:rsidP="00555440">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 xml:space="preserve">Proposal </w:t>
      </w:r>
      <w:r w:rsidR="00B14023">
        <w:rPr>
          <w:rFonts w:ascii="Times New Roman" w:eastAsia="Times New Roman" w:hAnsi="Times New Roman"/>
          <w:b/>
          <w:bCs/>
          <w:sz w:val="20"/>
          <w:szCs w:val="20"/>
          <w:u w:val="single"/>
          <w:lang w:val="en-GB" w:eastAsia="zh-CN"/>
        </w:rPr>
        <w:t>2</w:t>
      </w:r>
      <w:r w:rsidR="000760CC" w:rsidRPr="000760CC">
        <w:rPr>
          <w:rFonts w:ascii="Times New Roman" w:eastAsia="Times New Roman" w:hAnsi="Times New Roman"/>
          <w:b/>
          <w:bCs/>
          <w:sz w:val="20"/>
          <w:szCs w:val="20"/>
          <w:u w:val="single"/>
          <w:lang w:val="en-GB" w:eastAsia="zh-CN"/>
        </w:rPr>
        <w:t>:</w:t>
      </w:r>
      <w:r w:rsidR="000760CC" w:rsidRPr="000760CC">
        <w:rPr>
          <w:rFonts w:ascii="Times New Roman" w:eastAsia="Times New Roman" w:hAnsi="Times New Roman"/>
          <w:b/>
          <w:bCs/>
          <w:sz w:val="20"/>
          <w:szCs w:val="20"/>
          <w:lang w:val="en-GB" w:eastAsia="zh-CN"/>
        </w:rPr>
        <w:tab/>
      </w:r>
      <w:r w:rsidR="0035278E">
        <w:rPr>
          <w:rFonts w:ascii="Times New Roman" w:eastAsia="Times New Roman" w:hAnsi="Times New Roman"/>
          <w:bCs/>
          <w:i/>
          <w:sz w:val="20"/>
          <w:szCs w:val="20"/>
          <w:lang w:eastAsia="zh-CN"/>
        </w:rPr>
        <w:t xml:space="preserve">For </w:t>
      </w:r>
      <w:r w:rsidR="00B14023">
        <w:rPr>
          <w:rFonts w:ascii="Times New Roman" w:eastAsia="Times New Roman" w:hAnsi="Times New Roman"/>
          <w:bCs/>
          <w:i/>
          <w:sz w:val="20"/>
          <w:szCs w:val="20"/>
          <w:lang w:eastAsia="zh-CN"/>
        </w:rPr>
        <w:t>the case of limited RX UE interested in multiple V2X services, RAN2 should discuss if additional enhancements are needed to the TX carrier selection procedure or it can be left up to UE implementation.</w:t>
      </w:r>
    </w:p>
    <w:p w14:paraId="50A28EC3" w14:textId="77777777" w:rsidR="008669B1" w:rsidRPr="00E0063E" w:rsidRDefault="008669B1" w:rsidP="008669B1">
      <w:pPr>
        <w:pStyle w:val="Tdoc"/>
      </w:pPr>
      <w:r w:rsidRPr="00E0063E">
        <w:t>Conclusion</w:t>
      </w:r>
    </w:p>
    <w:p w14:paraId="50A28EC4" w14:textId="45B5E788"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the outstanding issues for </w:t>
      </w:r>
      <w:r w:rsidR="00E1454C">
        <w:rPr>
          <w:rFonts w:ascii="Times New Roman" w:eastAsia="Times New Roman" w:hAnsi="Times New Roman"/>
          <w:bCs/>
          <w:sz w:val="20"/>
          <w:szCs w:val="20"/>
          <w:lang w:val="en-GB" w:eastAsia="zh-CN"/>
        </w:rPr>
        <w:t>limited RX UEs for CA in V2X</w:t>
      </w:r>
      <w:r>
        <w:rPr>
          <w:rFonts w:ascii="Times New Roman" w:eastAsia="Times New Roman" w:hAnsi="Times New Roman"/>
          <w:bCs/>
          <w:sz w:val="20"/>
          <w:szCs w:val="20"/>
          <w:lang w:val="en-GB" w:eastAsia="zh-CN"/>
        </w:rPr>
        <w:t xml:space="preserve"> and makes the following observation(s) and proposals:</w:t>
      </w:r>
    </w:p>
    <w:p w14:paraId="3A0D3CA4" w14:textId="77777777" w:rsidR="00E1454C" w:rsidRDefault="00E1454C" w:rsidP="00E1454C">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 xml:space="preserve">Proposal </w:t>
      </w:r>
      <w:r w:rsidRPr="000760CC">
        <w:rPr>
          <w:rFonts w:ascii="Times New Roman" w:eastAsia="Times New Roman" w:hAnsi="Times New Roman"/>
          <w:b/>
          <w:bCs/>
          <w:sz w:val="20"/>
          <w:szCs w:val="20"/>
          <w:u w:val="single"/>
          <w:lang w:val="en-GB" w:eastAsia="zh-CN"/>
        </w:rPr>
        <w:t>1:</w:t>
      </w:r>
      <w:r w:rsidRPr="000760C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For a single, given V2X service, any interested UEs should be able to monitor all configured RX carriers corresponding to that service</w:t>
      </w:r>
      <w:r w:rsidRPr="000760CC">
        <w:rPr>
          <w:rFonts w:ascii="Times New Roman" w:eastAsia="Times New Roman" w:hAnsi="Times New Roman"/>
          <w:bCs/>
          <w:i/>
          <w:sz w:val="20"/>
          <w:szCs w:val="20"/>
          <w:lang w:eastAsia="zh-CN"/>
        </w:rPr>
        <w:t>.</w:t>
      </w:r>
    </w:p>
    <w:p w14:paraId="28DC2770" w14:textId="6EFBC206" w:rsidR="00E1454C" w:rsidRPr="00F239D6" w:rsidRDefault="00E1454C" w:rsidP="00E1454C">
      <w:pPr>
        <w:overflowPunct w:val="0"/>
        <w:autoSpaceDE w:val="0"/>
        <w:autoSpaceDN w:val="0"/>
        <w:adjustRightInd w:val="0"/>
        <w:spacing w:after="180" w:line="240" w:lineRule="auto"/>
        <w:ind w:left="1260" w:hanging="1260"/>
        <w:textAlignment w:val="baseline"/>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2</w:t>
      </w:r>
      <w:r w:rsidRPr="000760CC">
        <w:rPr>
          <w:rFonts w:ascii="Times New Roman" w:eastAsia="Times New Roman" w:hAnsi="Times New Roman"/>
          <w:b/>
          <w:bCs/>
          <w:sz w:val="20"/>
          <w:szCs w:val="20"/>
          <w:u w:val="single"/>
          <w:lang w:val="en-GB" w:eastAsia="zh-CN"/>
        </w:rPr>
        <w:t>:</w:t>
      </w:r>
      <w:r w:rsidRPr="000760C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For the case of limited RX UE interested in multiple V2X services, RAN2 should discuss if additional enhancements are needed to the TX carrier selection procedure or it can be left up to UE implementation.</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0252A04B" w14:textId="77777777" w:rsidR="000A0DDB"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0A0DDB" w14:paraId="76DE1CC6" w14:textId="77777777">
                <w:trPr>
                  <w:divId w:val="373701132"/>
                  <w:tblCellSpacing w:w="15" w:type="dxa"/>
                </w:trPr>
                <w:tc>
                  <w:tcPr>
                    <w:tcW w:w="50" w:type="pct"/>
                    <w:hideMark/>
                  </w:tcPr>
                  <w:p w14:paraId="7ACEDCD7" w14:textId="77777777" w:rsidR="000A0DDB" w:rsidRDefault="000A0DDB">
                    <w:pPr>
                      <w:pStyle w:val="Bibliography"/>
                      <w:rPr>
                        <w:noProof/>
                        <w:sz w:val="24"/>
                        <w:szCs w:val="24"/>
                      </w:rPr>
                    </w:pPr>
                    <w:r>
                      <w:rPr>
                        <w:noProof/>
                      </w:rPr>
                      <w:t xml:space="preserve">[1] </w:t>
                    </w:r>
                  </w:p>
                </w:tc>
                <w:tc>
                  <w:tcPr>
                    <w:tcW w:w="0" w:type="auto"/>
                    <w:hideMark/>
                  </w:tcPr>
                  <w:p w14:paraId="6CFB1193" w14:textId="77777777" w:rsidR="000A0DDB" w:rsidRDefault="000A0DDB">
                    <w:pPr>
                      <w:pStyle w:val="Bibliography"/>
                      <w:rPr>
                        <w:noProof/>
                      </w:rPr>
                    </w:pPr>
                    <w:r>
                      <w:rPr>
                        <w:noProof/>
                      </w:rPr>
                      <w:t xml:space="preserve">"RAN2#99bis, "Chairman Notes"". </w:t>
                    </w:r>
                  </w:p>
                </w:tc>
              </w:tr>
            </w:tbl>
            <w:p w14:paraId="4202D92E" w14:textId="77777777" w:rsidR="000A0DDB" w:rsidRDefault="000A0DDB">
              <w:pPr>
                <w:divId w:val="373701132"/>
                <w:rPr>
                  <w:rFonts w:eastAsia="Times New Roman"/>
                  <w:noProof/>
                </w:rPr>
              </w:pPr>
            </w:p>
            <w:p w14:paraId="4196A02B" w14:textId="23530BA4" w:rsidR="00DF25A3" w:rsidRDefault="003379D6">
              <w:r>
                <w:rPr>
                  <w:b/>
                  <w:bCs/>
                  <w:noProof/>
                </w:rPr>
                <w:lastRenderedPageBreak/>
                <w:fldChar w:fldCharType="end"/>
              </w:r>
            </w:p>
          </w:sdtContent>
        </w:sdt>
      </w:sdtContent>
    </w:sdt>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415F96" w:rsidRDefault="00415F96">
      <w:pPr>
        <w:spacing w:after="0" w:line="240" w:lineRule="auto"/>
      </w:pPr>
      <w:r>
        <w:separator/>
      </w:r>
    </w:p>
  </w:endnote>
  <w:endnote w:type="continuationSeparator" w:id="0">
    <w:p w14:paraId="50A28EF3" w14:textId="77777777" w:rsidR="00415F96" w:rsidRDefault="00415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0063E" w:rsidRDefault="00E006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0DDB">
      <w:rPr>
        <w:rFonts w:ascii="Arial" w:hAnsi="Arial" w:cs="Arial"/>
        <w:b/>
        <w:noProof/>
        <w:sz w:val="18"/>
        <w:szCs w:val="18"/>
      </w:rPr>
      <w:t>1</w:t>
    </w:r>
    <w:r>
      <w:rPr>
        <w:rFonts w:ascii="Arial" w:hAnsi="Arial" w:cs="Arial"/>
        <w:b/>
        <w:sz w:val="18"/>
        <w:szCs w:val="18"/>
      </w:rPr>
      <w:fldChar w:fldCharType="end"/>
    </w:r>
  </w:p>
  <w:p w14:paraId="50A28EF5" w14:textId="77777777" w:rsidR="00E0063E" w:rsidRDefault="00E006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415F96" w:rsidRDefault="00415F96">
      <w:pPr>
        <w:spacing w:after="0" w:line="240" w:lineRule="auto"/>
      </w:pPr>
      <w:r>
        <w:separator/>
      </w:r>
    </w:p>
  </w:footnote>
  <w:footnote w:type="continuationSeparator" w:id="0">
    <w:p w14:paraId="50A28EF1" w14:textId="77777777" w:rsidR="00415F96" w:rsidRDefault="00415F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351BF"/>
    <w:multiLevelType w:val="hybridMultilevel"/>
    <w:tmpl w:val="99F869F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9"/>
  </w:num>
  <w:num w:numId="3">
    <w:abstractNumId w:val="8"/>
  </w:num>
  <w:num w:numId="4">
    <w:abstractNumId w:val="7"/>
  </w:num>
  <w:num w:numId="5">
    <w:abstractNumId w:val="0"/>
    <w:lvlOverride w:ilvl="0">
      <w:startOverride w:val="1"/>
    </w:lvlOverride>
  </w:num>
  <w:num w:numId="6">
    <w:abstractNumId w:val="2"/>
    <w:lvlOverride w:ilvl="0">
      <w:startOverride w:val="2"/>
    </w:lvlOverride>
  </w:num>
  <w:num w:numId="7">
    <w:abstractNumId w:val="12"/>
  </w:num>
  <w:num w:numId="8">
    <w:abstractNumId w:val="5"/>
  </w:num>
  <w:num w:numId="9">
    <w:abstractNumId w:val="3"/>
  </w:num>
  <w:num w:numId="10">
    <w:abstractNumId w:val="10"/>
  </w:num>
  <w:num w:numId="11">
    <w:abstractNumId w:val="13"/>
  </w:num>
  <w:num w:numId="12">
    <w:abstractNumId w:val="1"/>
  </w:num>
  <w:num w:numId="13">
    <w:abstractNumId w:val="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2151A"/>
    <w:rsid w:val="00031A47"/>
    <w:rsid w:val="000336C8"/>
    <w:rsid w:val="00034F0E"/>
    <w:rsid w:val="000632AE"/>
    <w:rsid w:val="00066057"/>
    <w:rsid w:val="00071BD0"/>
    <w:rsid w:val="000760CC"/>
    <w:rsid w:val="0007638E"/>
    <w:rsid w:val="00096596"/>
    <w:rsid w:val="000A0DDB"/>
    <w:rsid w:val="000E493C"/>
    <w:rsid w:val="000F1C37"/>
    <w:rsid w:val="00100001"/>
    <w:rsid w:val="0011610B"/>
    <w:rsid w:val="00147C5C"/>
    <w:rsid w:val="00154CC9"/>
    <w:rsid w:val="0016488C"/>
    <w:rsid w:val="00175DCB"/>
    <w:rsid w:val="00195430"/>
    <w:rsid w:val="001A793C"/>
    <w:rsid w:val="001C137C"/>
    <w:rsid w:val="001E221E"/>
    <w:rsid w:val="002011CD"/>
    <w:rsid w:val="0020567B"/>
    <w:rsid w:val="00255F2A"/>
    <w:rsid w:val="00260222"/>
    <w:rsid w:val="00274F99"/>
    <w:rsid w:val="00276574"/>
    <w:rsid w:val="00291433"/>
    <w:rsid w:val="00291DB2"/>
    <w:rsid w:val="00293F66"/>
    <w:rsid w:val="0029495D"/>
    <w:rsid w:val="002A78E6"/>
    <w:rsid w:val="002B17B0"/>
    <w:rsid w:val="002F04F8"/>
    <w:rsid w:val="002F153B"/>
    <w:rsid w:val="002F35C5"/>
    <w:rsid w:val="002F432E"/>
    <w:rsid w:val="0030716D"/>
    <w:rsid w:val="00330823"/>
    <w:rsid w:val="00336D1D"/>
    <w:rsid w:val="003379D6"/>
    <w:rsid w:val="00337A0E"/>
    <w:rsid w:val="00345654"/>
    <w:rsid w:val="0035278E"/>
    <w:rsid w:val="00360F06"/>
    <w:rsid w:val="00384CB8"/>
    <w:rsid w:val="003A766F"/>
    <w:rsid w:val="003B6208"/>
    <w:rsid w:val="003C2812"/>
    <w:rsid w:val="003D1D55"/>
    <w:rsid w:val="003F0F74"/>
    <w:rsid w:val="0040117D"/>
    <w:rsid w:val="00415F96"/>
    <w:rsid w:val="00433DA4"/>
    <w:rsid w:val="0043655F"/>
    <w:rsid w:val="00437AB1"/>
    <w:rsid w:val="00440C74"/>
    <w:rsid w:val="00445B7E"/>
    <w:rsid w:val="0045284C"/>
    <w:rsid w:val="00453DB6"/>
    <w:rsid w:val="00460EBA"/>
    <w:rsid w:val="004873A1"/>
    <w:rsid w:val="0049247B"/>
    <w:rsid w:val="004B2F1A"/>
    <w:rsid w:val="004E3975"/>
    <w:rsid w:val="005067A7"/>
    <w:rsid w:val="005142A4"/>
    <w:rsid w:val="005214C0"/>
    <w:rsid w:val="00523734"/>
    <w:rsid w:val="005279F9"/>
    <w:rsid w:val="00555440"/>
    <w:rsid w:val="0055706A"/>
    <w:rsid w:val="00593190"/>
    <w:rsid w:val="0059466E"/>
    <w:rsid w:val="005A4656"/>
    <w:rsid w:val="005A7CEA"/>
    <w:rsid w:val="005E3E1B"/>
    <w:rsid w:val="005E4E14"/>
    <w:rsid w:val="00606815"/>
    <w:rsid w:val="00627647"/>
    <w:rsid w:val="00633024"/>
    <w:rsid w:val="006434DA"/>
    <w:rsid w:val="00667231"/>
    <w:rsid w:val="006A27E5"/>
    <w:rsid w:val="006C65A8"/>
    <w:rsid w:val="006D0058"/>
    <w:rsid w:val="006D512C"/>
    <w:rsid w:val="006D7CC2"/>
    <w:rsid w:val="006F631D"/>
    <w:rsid w:val="00705D31"/>
    <w:rsid w:val="00723298"/>
    <w:rsid w:val="00732A41"/>
    <w:rsid w:val="00732CD4"/>
    <w:rsid w:val="007336B5"/>
    <w:rsid w:val="00743313"/>
    <w:rsid w:val="00781376"/>
    <w:rsid w:val="00786EC6"/>
    <w:rsid w:val="00792327"/>
    <w:rsid w:val="00797358"/>
    <w:rsid w:val="007A2068"/>
    <w:rsid w:val="007A49CD"/>
    <w:rsid w:val="007D05E3"/>
    <w:rsid w:val="007D32DD"/>
    <w:rsid w:val="00827742"/>
    <w:rsid w:val="00835599"/>
    <w:rsid w:val="008669B1"/>
    <w:rsid w:val="00875F14"/>
    <w:rsid w:val="008775ED"/>
    <w:rsid w:val="00883EF2"/>
    <w:rsid w:val="008848AB"/>
    <w:rsid w:val="00897CC2"/>
    <w:rsid w:val="008A3B9F"/>
    <w:rsid w:val="008B0017"/>
    <w:rsid w:val="008B7DB0"/>
    <w:rsid w:val="008D2846"/>
    <w:rsid w:val="008E03BE"/>
    <w:rsid w:val="008E5071"/>
    <w:rsid w:val="008F02CA"/>
    <w:rsid w:val="00925869"/>
    <w:rsid w:val="00943FF6"/>
    <w:rsid w:val="0094797B"/>
    <w:rsid w:val="00952743"/>
    <w:rsid w:val="00955F6D"/>
    <w:rsid w:val="009573C2"/>
    <w:rsid w:val="00976CEB"/>
    <w:rsid w:val="009A301E"/>
    <w:rsid w:val="009A4353"/>
    <w:rsid w:val="009B6A2D"/>
    <w:rsid w:val="009D5BAB"/>
    <w:rsid w:val="009E7171"/>
    <w:rsid w:val="009F758B"/>
    <w:rsid w:val="00A44954"/>
    <w:rsid w:val="00A45F0D"/>
    <w:rsid w:val="00A5035B"/>
    <w:rsid w:val="00A63B12"/>
    <w:rsid w:val="00A824AF"/>
    <w:rsid w:val="00A86A88"/>
    <w:rsid w:val="00A8759E"/>
    <w:rsid w:val="00AB388C"/>
    <w:rsid w:val="00AC4F72"/>
    <w:rsid w:val="00AD20FE"/>
    <w:rsid w:val="00AD77A5"/>
    <w:rsid w:val="00AE13FE"/>
    <w:rsid w:val="00AE5BAD"/>
    <w:rsid w:val="00AF256D"/>
    <w:rsid w:val="00B14023"/>
    <w:rsid w:val="00B20B32"/>
    <w:rsid w:val="00B329F9"/>
    <w:rsid w:val="00B45EDF"/>
    <w:rsid w:val="00B74D9C"/>
    <w:rsid w:val="00B76EA2"/>
    <w:rsid w:val="00BA2CEB"/>
    <w:rsid w:val="00C27475"/>
    <w:rsid w:val="00C348A8"/>
    <w:rsid w:val="00C47BFB"/>
    <w:rsid w:val="00C641CB"/>
    <w:rsid w:val="00C67B49"/>
    <w:rsid w:val="00C73BA9"/>
    <w:rsid w:val="00C8595C"/>
    <w:rsid w:val="00C90D45"/>
    <w:rsid w:val="00CB6AB5"/>
    <w:rsid w:val="00CE5D88"/>
    <w:rsid w:val="00CE70AB"/>
    <w:rsid w:val="00D30389"/>
    <w:rsid w:val="00D30D35"/>
    <w:rsid w:val="00D4639F"/>
    <w:rsid w:val="00D65AAE"/>
    <w:rsid w:val="00D74365"/>
    <w:rsid w:val="00D75EC2"/>
    <w:rsid w:val="00D94525"/>
    <w:rsid w:val="00D945F5"/>
    <w:rsid w:val="00DC299B"/>
    <w:rsid w:val="00DE207A"/>
    <w:rsid w:val="00DF07FB"/>
    <w:rsid w:val="00DF25A3"/>
    <w:rsid w:val="00E0063E"/>
    <w:rsid w:val="00E10C75"/>
    <w:rsid w:val="00E1454C"/>
    <w:rsid w:val="00E31E41"/>
    <w:rsid w:val="00E32368"/>
    <w:rsid w:val="00E42BBE"/>
    <w:rsid w:val="00E53137"/>
    <w:rsid w:val="00E60548"/>
    <w:rsid w:val="00E65894"/>
    <w:rsid w:val="00E6786C"/>
    <w:rsid w:val="00E93113"/>
    <w:rsid w:val="00E936F6"/>
    <w:rsid w:val="00EB0968"/>
    <w:rsid w:val="00ED00AF"/>
    <w:rsid w:val="00EE3B7D"/>
    <w:rsid w:val="00F07F83"/>
    <w:rsid w:val="00F14233"/>
    <w:rsid w:val="00F16547"/>
    <w:rsid w:val="00F16840"/>
    <w:rsid w:val="00F2103E"/>
    <w:rsid w:val="00F239D6"/>
    <w:rsid w:val="00F25073"/>
    <w:rsid w:val="00F27189"/>
    <w:rsid w:val="00F83629"/>
    <w:rsid w:val="00FA03CA"/>
    <w:rsid w:val="00FC16BC"/>
    <w:rsid w:val="00FD039C"/>
    <w:rsid w:val="00FF2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3F0F74"/>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3F0F74"/>
    <w:rPr>
      <w:rFonts w:ascii="Calibri Light" w:eastAsia="Times New Roman" w:hAnsi="Calibri Light"/>
      <w:b/>
      <w:bCs/>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5679162">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5768938">
      <w:bodyDiv w:val="1"/>
      <w:marLeft w:val="0"/>
      <w:marRight w:val="0"/>
      <w:marTop w:val="0"/>
      <w:marBottom w:val="0"/>
      <w:divBdr>
        <w:top w:val="none" w:sz="0" w:space="0" w:color="auto"/>
        <w:left w:val="none" w:sz="0" w:space="0" w:color="auto"/>
        <w:bottom w:val="none" w:sz="0" w:space="0" w:color="auto"/>
        <w:right w:val="none" w:sz="0" w:space="0" w:color="auto"/>
      </w:divBdr>
    </w:div>
    <w:div w:id="27722043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3701132">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5542944">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6605188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2558590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7544892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55619312">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27236622">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709743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39998659">
      <w:bodyDiv w:val="1"/>
      <w:marLeft w:val="0"/>
      <w:marRight w:val="0"/>
      <w:marTop w:val="0"/>
      <w:marBottom w:val="0"/>
      <w:divBdr>
        <w:top w:val="none" w:sz="0" w:space="0" w:color="auto"/>
        <w:left w:val="none" w:sz="0" w:space="0" w:color="auto"/>
        <w:bottom w:val="none" w:sz="0" w:space="0" w:color="auto"/>
        <w:right w:val="none" w:sz="0" w:space="0" w:color="auto"/>
      </w:divBdr>
    </w:div>
    <w:div w:id="1849633836">
      <w:bodyDiv w:val="1"/>
      <w:marLeft w:val="0"/>
      <w:marRight w:val="0"/>
      <w:marTop w:val="0"/>
      <w:marBottom w:val="0"/>
      <w:divBdr>
        <w:top w:val="none" w:sz="0" w:space="0" w:color="auto"/>
        <w:left w:val="none" w:sz="0" w:space="0" w:color="auto"/>
        <w:bottom w:val="none" w:sz="0" w:space="0" w:color="auto"/>
        <w:right w:val="none" w:sz="0" w:space="0" w:color="auto"/>
      </w:divBdr>
    </w:div>
    <w:div w:id="1856840969">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51164453">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89286496">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76274986">
      <w:bodyDiv w:val="1"/>
      <w:marLeft w:val="0"/>
      <w:marRight w:val="0"/>
      <w:marTop w:val="0"/>
      <w:marBottom w:val="0"/>
      <w:divBdr>
        <w:top w:val="none" w:sz="0" w:space="0" w:color="auto"/>
        <w:left w:val="none" w:sz="0" w:space="0" w:color="auto"/>
        <w:bottom w:val="none" w:sz="0" w:space="0" w:color="auto"/>
        <w:right w:val="none" w:sz="0" w:space="0" w:color="auto"/>
      </w:divBdr>
    </w:div>
    <w:div w:id="210672437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RAN299bis</b:Tag>
    <b:SourceType>ConferenceProceedings</b:SourceType>
    <b:Guid>{A3CAC475-CEF3-43A8-9756-33397C4A18C2}</b:Guid>
    <b:Title>RAN2#99bis, "Chairman Notes"</b:Title>
    <b:RefOrder>1</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304546B6-C2B2-4332-BE8B-E36279CA1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3</Pages>
  <Words>1296</Words>
  <Characters>6368</Characters>
  <Application>Microsoft Office Word</Application>
  <DocSecurity>0</DocSecurity>
  <Lines>97</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96</cp:revision>
  <dcterms:created xsi:type="dcterms:W3CDTF">2017-08-12T02:26:00Z</dcterms:created>
  <dcterms:modified xsi:type="dcterms:W3CDTF">2017-11-17T04:30:00Z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884ec40a-af31-4b00-a8b8-e8b94ab7651a</vt:lpwstr>
  </property>
  <property fmtid="{D5CDD505-2E9C-101B-9397-08002B2CF9AE}" pid="4" name="CTP_BU">
    <vt:lpwstr>NA</vt:lpwstr>
  </property>
  <property fmtid="{D5CDD505-2E9C-101B-9397-08002B2CF9AE}" pid="5" name="CTP_TimeStamp">
    <vt:lpwstr>2017-11-17 04:30:26Z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